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40" w:lineRule="exact"/>
        <w:jc w:val="center"/>
        <w:textAlignment w:val="auto"/>
        <w:rPr>
          <w:rFonts w:hint="eastAsia" w:ascii="黑体" w:hAnsi="黑体" w:eastAsia="黑体" w:cs="黑体"/>
          <w:b w:val="0"/>
          <w:bCs w:val="0"/>
          <w:color w:val="000000"/>
          <w:sz w:val="30"/>
          <w:szCs w:val="30"/>
          <w:lang w:val="en-US" w:eastAsia="zh-CN"/>
        </w:rPr>
      </w:pPr>
      <w:r>
        <w:rPr>
          <w:rFonts w:hint="eastAsia" w:ascii="黑体" w:hAnsi="黑体" w:eastAsia="黑体" w:cs="黑体"/>
          <w:b w:val="0"/>
          <w:bCs w:val="0"/>
          <w:color w:val="000000"/>
          <w:sz w:val="30"/>
          <w:szCs w:val="30"/>
        </w:rPr>
        <w:t>江西科伦医疗器械制造有限公司</w:t>
      </w:r>
      <w:r>
        <w:rPr>
          <w:rFonts w:hint="eastAsia" w:ascii="黑体" w:hAnsi="黑体" w:eastAsia="黑体" w:cs="黑体"/>
          <w:b w:val="0"/>
          <w:bCs w:val="0"/>
          <w:color w:val="000000"/>
          <w:sz w:val="30"/>
          <w:szCs w:val="30"/>
          <w:lang w:val="en-US" w:eastAsia="zh-CN"/>
        </w:rPr>
        <w:t>精密型输液器</w:t>
      </w:r>
    </w:p>
    <w:p>
      <w:pPr>
        <w:keepNext w:val="0"/>
        <w:keepLines w:val="0"/>
        <w:pageBreakBefore w:val="0"/>
        <w:kinsoku/>
        <w:wordWrap/>
        <w:overflowPunct/>
        <w:topLinePunct w:val="0"/>
        <w:autoSpaceDE/>
        <w:autoSpaceDN/>
        <w:bidi w:val="0"/>
        <w:adjustRightInd/>
        <w:snapToGrid/>
        <w:spacing w:line="540" w:lineRule="exact"/>
        <w:jc w:val="center"/>
        <w:textAlignment w:val="auto"/>
        <w:rPr>
          <w:rFonts w:asciiTheme="minorEastAsia" w:hAnsiTheme="minorEastAsia" w:eastAsiaTheme="minorEastAsia"/>
          <w:b/>
          <w:sz w:val="36"/>
          <w:szCs w:val="36"/>
        </w:rPr>
      </w:pPr>
      <w:r>
        <w:rPr>
          <w:rFonts w:hint="eastAsia" w:ascii="黑体" w:hAnsi="黑体" w:eastAsia="黑体" w:cs="黑体"/>
          <w:b w:val="0"/>
          <w:bCs w:val="0"/>
          <w:color w:val="000000"/>
          <w:sz w:val="30"/>
          <w:szCs w:val="30"/>
          <w:lang w:val="en-US" w:eastAsia="zh-CN"/>
        </w:rPr>
        <w:t>自动化组装设备</w:t>
      </w:r>
      <w:r>
        <w:rPr>
          <w:rFonts w:hint="eastAsia" w:ascii="黑体" w:hAnsi="黑体" w:eastAsia="黑体" w:cs="黑体"/>
          <w:b w:val="0"/>
          <w:bCs w:val="0"/>
          <w:sz w:val="30"/>
          <w:szCs w:val="30"/>
        </w:rPr>
        <w:t>招标文件</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lang w:val="en-US" w:eastAsia="zh-CN"/>
        </w:rPr>
      </w:pPr>
      <w:r>
        <w:rPr>
          <w:rFonts w:hint="eastAsia" w:ascii="等线" w:hAnsi="等线" w:eastAsia="等线" w:cs="等线"/>
          <w:b/>
          <w:sz w:val="28"/>
          <w:szCs w:val="28"/>
          <w:highlight w:val="none"/>
          <w:lang w:val="en-US" w:eastAsia="zh-CN"/>
        </w:rPr>
        <w:t>一、项目名称</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val="0"/>
          <w:bCs w:val="0"/>
          <w:color w:val="000000"/>
          <w:sz w:val="24"/>
          <w:lang w:val="en-US" w:eastAsia="zh-CN"/>
        </w:rPr>
      </w:pPr>
      <w:r>
        <w:rPr>
          <w:rFonts w:hint="eastAsia" w:ascii="等线" w:hAnsi="等线" w:eastAsia="等线" w:cs="等线"/>
          <w:b w:val="0"/>
          <w:bCs w:val="0"/>
          <w:color w:val="000000"/>
          <w:sz w:val="24"/>
          <w:lang w:val="en-US" w:eastAsia="zh-CN"/>
        </w:rPr>
        <w:t>江西科伦医疗器械制造有限公司精密型输液器自动化组装设备采购项目</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lang w:val="en-US" w:eastAsia="zh-CN"/>
        </w:rPr>
      </w:pPr>
      <w:r>
        <w:rPr>
          <w:rFonts w:hint="eastAsia" w:ascii="等线" w:hAnsi="等线" w:eastAsia="等线" w:cs="等线"/>
          <w:b/>
          <w:sz w:val="28"/>
          <w:szCs w:val="28"/>
          <w:highlight w:val="none"/>
          <w:lang w:val="en-US" w:eastAsia="zh-CN"/>
        </w:rPr>
        <w:t>二、项目地址</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val="0"/>
          <w:bCs w:val="0"/>
          <w:color w:val="000000"/>
          <w:sz w:val="24"/>
          <w:lang w:val="en-US" w:eastAsia="zh-CN"/>
        </w:rPr>
      </w:pPr>
      <w:r>
        <w:rPr>
          <w:rFonts w:hint="eastAsia" w:ascii="等线" w:hAnsi="等线" w:eastAsia="等线" w:cs="等线"/>
          <w:b w:val="0"/>
          <w:bCs w:val="0"/>
          <w:color w:val="000000"/>
          <w:sz w:val="24"/>
          <w:lang w:val="en-US" w:eastAsia="zh-CN"/>
        </w:rPr>
        <w:t>江西省宜春市袁州区医药工业园-江西科伦医疗器械制造有限公司。</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lang w:val="en-US" w:eastAsia="zh-CN"/>
        </w:rPr>
      </w:pPr>
      <w:r>
        <w:rPr>
          <w:rFonts w:hint="eastAsia" w:ascii="等线" w:hAnsi="等线" w:eastAsia="等线" w:cs="等线"/>
          <w:b/>
          <w:sz w:val="28"/>
          <w:szCs w:val="28"/>
          <w:highlight w:val="none"/>
          <w:lang w:val="en-US" w:eastAsia="zh-CN"/>
        </w:rPr>
        <w:t>三、技术要求</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val="0"/>
          <w:bCs w:val="0"/>
          <w:color w:val="000000"/>
          <w:sz w:val="24"/>
          <w:lang w:val="en-US" w:eastAsia="zh-CN"/>
        </w:rPr>
      </w:pPr>
      <w:r>
        <w:rPr>
          <w:rFonts w:hint="eastAsia" w:ascii="等线" w:hAnsi="等线" w:eastAsia="等线" w:cs="等线"/>
          <w:b w:val="0"/>
          <w:bCs w:val="0"/>
          <w:color w:val="000000"/>
          <w:sz w:val="24"/>
          <w:lang w:val="en-US" w:eastAsia="zh-CN"/>
        </w:rPr>
        <w:t>1、参照附件：《科伦医疗器械制造有限公司精密型输液器自动组装机设备URS需求》相关要求。</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lang w:val="en-US" w:eastAsia="zh-CN"/>
        </w:rPr>
      </w:pPr>
      <w:r>
        <w:rPr>
          <w:rFonts w:hint="eastAsia" w:ascii="等线" w:hAnsi="等线" w:eastAsia="等线" w:cs="等线"/>
          <w:b/>
          <w:sz w:val="28"/>
          <w:szCs w:val="28"/>
          <w:highlight w:val="none"/>
          <w:lang w:val="en-US" w:eastAsia="zh-CN"/>
        </w:rPr>
        <w:t>四、投标保证金</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1、项目投标保证金为人民币100,000.00元整，</w:t>
      </w:r>
      <w:r>
        <w:rPr>
          <w:rFonts w:hint="eastAsia" w:ascii="等线" w:hAnsi="等线" w:eastAsia="等线" w:cs="等线"/>
          <w:b w:val="0"/>
          <w:bCs w:val="0"/>
          <w:color w:val="000000"/>
          <w:sz w:val="24"/>
          <w:lang w:val="en-US" w:eastAsia="zh-CN"/>
        </w:rPr>
        <w:t>投标方须在2022年12月05日下午17时00</w:t>
      </w:r>
      <w:r>
        <w:rPr>
          <w:rFonts w:hint="eastAsia" w:ascii="等线" w:hAnsi="等线" w:eastAsia="等线" w:cs="等线"/>
          <w:color w:val="000000"/>
          <w:sz w:val="24"/>
          <w:lang w:val="en-US" w:eastAsia="zh-CN"/>
        </w:rPr>
        <w:t>分前从本企业基本账户汇至招标方指定账户（到账时间以到账证明为准）。</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2、招标方指定账户信息</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公司名称：江西科伦医疗器械制造有限公司</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开户银行：中国银行宜春市袁州支行</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账    号：196209369286</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地    址：江西省宜春市袁州区医药工业园</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3、未中标单位保证金在招标完毕后7个工作日内无息返还；中标单位在签订合同后，投标保证金无息返还中标方；投标单位如中标后反悔，投标保证金不予退还。</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rPr>
      </w:pPr>
      <w:r>
        <w:rPr>
          <w:rFonts w:hint="eastAsia" w:ascii="等线" w:hAnsi="等线" w:eastAsia="等线" w:cs="等线"/>
          <w:b/>
          <w:sz w:val="28"/>
          <w:szCs w:val="28"/>
          <w:highlight w:val="none"/>
          <w:lang w:val="en-US" w:eastAsia="zh-CN"/>
        </w:rPr>
        <w:t>五</w:t>
      </w:r>
      <w:r>
        <w:rPr>
          <w:rFonts w:hint="eastAsia" w:ascii="等线" w:hAnsi="等线" w:eastAsia="等线" w:cs="等线"/>
          <w:b/>
          <w:sz w:val="28"/>
          <w:szCs w:val="28"/>
          <w:highlight w:val="none"/>
        </w:rPr>
        <w:t>、履约保证金</w:t>
      </w:r>
    </w:p>
    <w:p>
      <w:pPr>
        <w:keepNext w:val="0"/>
        <w:keepLines w:val="0"/>
        <w:pageBreakBefore w:val="0"/>
        <w:kinsoku/>
        <w:wordWrap/>
        <w:overflowPunct/>
        <w:topLinePunct w:val="0"/>
        <w:autoSpaceDE/>
        <w:autoSpaceDN/>
        <w:bidi w:val="0"/>
        <w:adjustRightInd/>
        <w:snapToGrid/>
        <w:spacing w:line="540" w:lineRule="exact"/>
        <w:ind w:firstLine="480" w:firstLineChars="200"/>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双方签订合同前，中标方须向招标方缴纳履约保证金，履约保证金为中标金额的10%，形式为银行保函或电汇，银行保函应当由招标单位所在省区域内或者外埠企业注册所在地（设区市区域内）的全国性商业银行、城市商业银行开具。招标方在全部设备到货验收合格后，无息全额退还中标方履约保证金。</w:t>
      </w:r>
    </w:p>
    <w:p>
      <w:pPr>
        <w:keepNext w:val="0"/>
        <w:keepLines w:val="0"/>
        <w:pageBreakBefore w:val="0"/>
        <w:widowControl/>
        <w:kinsoku/>
        <w:wordWrap/>
        <w:overflowPunct/>
        <w:topLinePunct w:val="0"/>
        <w:autoSpaceDE/>
        <w:autoSpaceDN/>
        <w:bidi w:val="0"/>
        <w:adjustRightInd/>
        <w:snapToGrid/>
        <w:spacing w:line="540" w:lineRule="exact"/>
        <w:jc w:val="left"/>
        <w:textAlignment w:val="auto"/>
        <w:rPr>
          <w:rFonts w:hint="eastAsia" w:ascii="等线" w:hAnsi="等线" w:eastAsia="等线" w:cs="等线"/>
          <w:b/>
          <w:sz w:val="28"/>
          <w:szCs w:val="28"/>
        </w:rPr>
      </w:pPr>
      <w:r>
        <w:rPr>
          <w:rFonts w:hint="eastAsia" w:ascii="等线" w:hAnsi="等线" w:eastAsia="等线" w:cs="等线"/>
          <w:b/>
          <w:sz w:val="28"/>
          <w:szCs w:val="28"/>
          <w:lang w:val="en-US" w:eastAsia="zh-CN"/>
        </w:rPr>
        <w:t>六</w:t>
      </w:r>
      <w:r>
        <w:rPr>
          <w:rFonts w:hint="eastAsia" w:ascii="等线" w:hAnsi="等线" w:eastAsia="等线" w:cs="等线"/>
          <w:b/>
          <w:sz w:val="28"/>
          <w:szCs w:val="28"/>
        </w:rPr>
        <w:t>、商务要求：</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b/>
          <w:bCs/>
          <w:color w:val="000000"/>
          <w:sz w:val="24"/>
          <w:lang w:val="en-US" w:eastAsia="zh-CN"/>
        </w:rPr>
        <w:t>1、项目工期：</w:t>
      </w:r>
      <w:r>
        <w:rPr>
          <w:rFonts w:hint="eastAsia" w:ascii="等线" w:hAnsi="等线" w:eastAsia="等线" w:cs="等线"/>
          <w:color w:val="000000"/>
          <w:sz w:val="24"/>
          <w:lang w:val="en-US" w:eastAsia="zh-CN"/>
        </w:rPr>
        <w:t>中标方须在接到中标通知书之日起180天内完成整套设备的生产和组装调试工作。</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b/>
          <w:bCs/>
          <w:color w:val="000000"/>
          <w:sz w:val="24"/>
          <w:lang w:val="en-US" w:eastAsia="zh-CN"/>
        </w:rPr>
        <w:t>2、付款方式：</w:t>
      </w:r>
      <w:r>
        <w:rPr>
          <w:rFonts w:hint="eastAsia" w:ascii="等线" w:hAnsi="等线" w:eastAsia="等线" w:cs="等线"/>
          <w:color w:val="000000"/>
          <w:sz w:val="24"/>
          <w:lang w:val="en-US" w:eastAsia="zh-CN"/>
        </w:rPr>
        <w:t>合同签订生效后10日内支付合同总价款30%预付款；设备到厂开始安装后支付合同总价款30%的设备款；设备安装完毕经甲方验收合格支付30%验收款；余款10%为质量保证金，</w:t>
      </w:r>
      <w:bookmarkStart w:id="0" w:name="_Hlk100677125"/>
      <w:r>
        <w:rPr>
          <w:rFonts w:hint="eastAsia" w:ascii="等线" w:hAnsi="等线" w:eastAsia="等线" w:cs="等线"/>
          <w:color w:val="000000"/>
          <w:sz w:val="24"/>
          <w:lang w:val="en-US" w:eastAsia="zh-CN"/>
        </w:rPr>
        <w:t>质保期一年</w:t>
      </w:r>
      <w:bookmarkEnd w:id="0"/>
      <w:r>
        <w:rPr>
          <w:rFonts w:hint="eastAsia" w:ascii="等线" w:hAnsi="等线" w:eastAsia="等线" w:cs="等线"/>
          <w:color w:val="000000"/>
          <w:sz w:val="24"/>
          <w:lang w:val="en-US" w:eastAsia="zh-CN"/>
        </w:rPr>
        <w:t>，在质保期满设备无质量问题的情况下10日内支付剩余款项；中标人需提供设备全额增值税专用发票。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Cs/>
          <w:sz w:val="24"/>
          <w:highlight w:val="none"/>
        </w:rPr>
      </w:pPr>
      <w:r>
        <w:rPr>
          <w:rFonts w:hint="eastAsia" w:ascii="等线" w:hAnsi="等线" w:eastAsia="等线" w:cs="等线"/>
          <w:b/>
          <w:bCs/>
          <w:color w:val="000000"/>
          <w:sz w:val="24"/>
          <w:lang w:val="en-US" w:eastAsia="zh-CN"/>
        </w:rPr>
        <w:t>3.、质保期：</w:t>
      </w:r>
      <w:r>
        <w:rPr>
          <w:rFonts w:hint="eastAsia" w:ascii="等线" w:hAnsi="等线" w:eastAsia="等线" w:cs="等线"/>
          <w:color w:val="000000"/>
          <w:sz w:val="24"/>
          <w:lang w:val="en-US" w:eastAsia="zh-CN"/>
        </w:rPr>
        <w:t>设备质保期一年（在招标方出具设备验收合格报告之日起开始计算）</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lang w:eastAsia="zh-CN"/>
        </w:rPr>
      </w:pPr>
      <w:r>
        <w:rPr>
          <w:rFonts w:hint="eastAsia" w:ascii="等线" w:hAnsi="等线" w:eastAsia="等线" w:cs="等线"/>
          <w:b/>
          <w:sz w:val="28"/>
          <w:szCs w:val="28"/>
          <w:lang w:val="en-US" w:eastAsia="zh-CN"/>
        </w:rPr>
        <w:t>七</w:t>
      </w:r>
      <w:r>
        <w:rPr>
          <w:rFonts w:hint="eastAsia" w:ascii="等线" w:hAnsi="等线" w:eastAsia="等线" w:cs="等线"/>
          <w:b/>
          <w:sz w:val="28"/>
          <w:szCs w:val="28"/>
        </w:rPr>
        <w:t>、投标文件的构成</w:t>
      </w:r>
      <w:r>
        <w:rPr>
          <w:rFonts w:hint="eastAsia" w:ascii="等线" w:hAnsi="等线" w:eastAsia="等线" w:cs="等线"/>
          <w:b/>
          <w:sz w:val="28"/>
          <w:szCs w:val="28"/>
          <w:lang w:eastAsia="zh-CN"/>
        </w:rPr>
        <w:t>（</w:t>
      </w:r>
      <w:r>
        <w:rPr>
          <w:rFonts w:hint="eastAsia" w:ascii="等线" w:hAnsi="等线" w:eastAsia="等线" w:cs="等线"/>
          <w:color w:val="000000"/>
          <w:sz w:val="28"/>
          <w:szCs w:val="28"/>
          <w:lang w:val="en-US" w:eastAsia="zh-CN"/>
        </w:rPr>
        <w:t>正本壹份，副本贰份</w:t>
      </w:r>
      <w:r>
        <w:rPr>
          <w:rFonts w:hint="eastAsia" w:ascii="等线" w:hAnsi="等线" w:eastAsia="等线" w:cs="等线"/>
          <w:b/>
          <w:sz w:val="28"/>
          <w:szCs w:val="28"/>
          <w:lang w:eastAsia="zh-CN"/>
        </w:rPr>
        <w:t>）</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投标人提交的投标文件应包括以下内容（但不仅限于下列部分）：</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1、开标一览表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2、开标一览明细表</w:t>
      </w:r>
      <w:bookmarkStart w:id="4" w:name="_GoBack"/>
      <w:bookmarkEnd w:id="4"/>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3、技术规格响应/偏离表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4、商务条款响应/偏离表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5、法定代表人授权书</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6、法定代表人资格证明书</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7、法定代表人授权委托书（如适用）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8、资格证明文件（参考招标文件第九条）</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9、技术方案文件（含设备清单）</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10、其他商务文件</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lang w:val="en-US" w:eastAsia="zh-CN"/>
        </w:rPr>
      </w:pPr>
      <w:r>
        <w:rPr>
          <w:rFonts w:hint="eastAsia" w:ascii="等线" w:hAnsi="等线" w:eastAsia="等线" w:cs="等线"/>
          <w:b/>
          <w:sz w:val="28"/>
          <w:szCs w:val="28"/>
          <w:highlight w:val="none"/>
          <w:lang w:val="en-US" w:eastAsia="zh-CN"/>
        </w:rPr>
        <w:t>八、投标人资格及文件：</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1、具有独立承担民事责任的能力（投标人须提交营业执照副本、组织机构代码证和税务登记证副本（或三证合一的营业执照副本）扫描件加盖公章）；</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2、具有良好的商业信誉和健全的财务会计制度（提供开标前二个年度内任一年度经审计的财务状况报告或在开标前三个月内其基本开户银行出具的资信证明扫描件加盖公章）；</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3、具有履行合同所必须的设备和专业技术能力（提供具有履行合同所必须的设备和专业技术能力的承诺函）；</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4、近三年内（本项目投标截止期前）未被《信用中国》（网站：</w:t>
      </w:r>
      <w:r>
        <w:rPr>
          <w:rFonts w:hint="eastAsia" w:ascii="等线" w:hAnsi="等线" w:eastAsia="等线" w:cs="等线"/>
          <w:color w:val="000000"/>
          <w:sz w:val="24"/>
          <w:lang w:val="en-US" w:eastAsia="zh-CN"/>
        </w:rPr>
        <w:fldChar w:fldCharType="begin"/>
      </w:r>
      <w:r>
        <w:rPr>
          <w:rFonts w:hint="eastAsia" w:ascii="等线" w:hAnsi="等线" w:eastAsia="等线" w:cs="等线"/>
          <w:color w:val="000000"/>
          <w:sz w:val="24"/>
          <w:lang w:val="en-US" w:eastAsia="zh-CN"/>
        </w:rPr>
        <w:instrText xml:space="preserve"> HYPERLINK "http://www.creditchina.gov.cn)列入失信被执行人及重大税收违法案件（提供查询截图）。" </w:instrText>
      </w:r>
      <w:r>
        <w:rPr>
          <w:rFonts w:hint="eastAsia" w:ascii="等线" w:hAnsi="等线" w:eastAsia="等线" w:cs="等线"/>
          <w:color w:val="000000"/>
          <w:sz w:val="24"/>
          <w:lang w:val="en-US" w:eastAsia="zh-CN"/>
        </w:rPr>
        <w:fldChar w:fldCharType="separate"/>
      </w:r>
      <w:r>
        <w:rPr>
          <w:rFonts w:hint="eastAsia" w:ascii="等线" w:hAnsi="等线" w:eastAsia="等线" w:cs="等线"/>
          <w:color w:val="000000"/>
          <w:sz w:val="24"/>
          <w:lang w:val="en-US" w:eastAsia="zh-CN"/>
        </w:rPr>
        <w:t>www.creditchina.gov.cn)列入失信被执行人及重大税收违法案件</w:t>
      </w:r>
      <w:bookmarkStart w:id="1" w:name="_Hlk100826011"/>
      <w:r>
        <w:rPr>
          <w:rFonts w:hint="eastAsia" w:ascii="等线" w:hAnsi="等线" w:eastAsia="等线" w:cs="等线"/>
          <w:color w:val="000000"/>
          <w:sz w:val="24"/>
          <w:lang w:val="en-US" w:eastAsia="zh-CN"/>
        </w:rPr>
        <w:t>（提供查询截图）。</w:t>
      </w:r>
      <w:r>
        <w:rPr>
          <w:rFonts w:hint="eastAsia" w:ascii="等线" w:hAnsi="等线" w:eastAsia="等线" w:cs="等线"/>
          <w:color w:val="000000"/>
          <w:sz w:val="24"/>
          <w:lang w:val="en-US" w:eastAsia="zh-CN"/>
        </w:rPr>
        <w:fldChar w:fldCharType="end"/>
      </w:r>
    </w:p>
    <w:p>
      <w:pPr>
        <w:keepNext w:val="0"/>
        <w:keepLines w:val="0"/>
        <w:pageBreakBefore w:val="0"/>
        <w:kinsoku/>
        <w:wordWrap/>
        <w:overflowPunct/>
        <w:topLinePunct w:val="0"/>
        <w:autoSpaceDE/>
        <w:autoSpaceDN/>
        <w:bidi w:val="0"/>
        <w:adjustRightInd/>
        <w:snapToGrid/>
        <w:spacing w:line="540" w:lineRule="exact"/>
        <w:textAlignment w:val="auto"/>
        <w:rPr>
          <w:rFonts w:hint="eastAsia"/>
        </w:rPr>
      </w:pPr>
      <w:r>
        <w:rPr>
          <w:rFonts w:hint="eastAsia" w:ascii="等线" w:hAnsi="等线" w:eastAsia="等线" w:cs="等线"/>
          <w:color w:val="000000"/>
          <w:sz w:val="24"/>
          <w:lang w:val="en-US" w:eastAsia="zh-CN"/>
        </w:rPr>
        <w:t>5、本项目不接受联合体投标。</w:t>
      </w:r>
    </w:p>
    <w:bookmarkEnd w:id="1"/>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lang w:val="en-US" w:eastAsia="zh-CN"/>
        </w:rPr>
      </w:pPr>
      <w:r>
        <w:rPr>
          <w:rFonts w:hint="eastAsia" w:ascii="等线" w:hAnsi="等线" w:eastAsia="等线" w:cs="等线"/>
          <w:b/>
          <w:sz w:val="28"/>
          <w:szCs w:val="28"/>
          <w:highlight w:val="none"/>
          <w:lang w:val="en-US" w:eastAsia="zh-CN"/>
        </w:rPr>
        <w:t>九、投标文件的密封与标志</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1、投标方将投标文件装入密封文件袋内密封，封口处应加盖投标人法人章及骑缝章。封皮上应注明竞标项目名称、招标材料名称、投标单位名称、联系人及联系方式等。</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2、招标方拒收投标方未封装的投标文件。</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lang w:val="en-US" w:eastAsia="zh-CN"/>
        </w:rPr>
      </w:pPr>
      <w:r>
        <w:rPr>
          <w:rFonts w:hint="eastAsia" w:ascii="等线" w:hAnsi="等线" w:eastAsia="等线" w:cs="等线"/>
          <w:b/>
          <w:sz w:val="28"/>
          <w:szCs w:val="28"/>
          <w:highlight w:val="none"/>
          <w:lang w:val="en-US" w:eastAsia="zh-CN"/>
        </w:rPr>
        <w:t>十、投标截止时间、开标时间及地点</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1、本项目投标截止时间和开标时间为2022年12月06日09:30时（北京时间）。投标人必须在投标截止时间前将投标文件以快递方式寄送出投标文件（寄送日期以招标方收到的快递单号寄送日期或邮戳日期为准）。</w:t>
      </w:r>
    </w:p>
    <w:p>
      <w:pPr>
        <w:spacing w:line="360" w:lineRule="auto"/>
        <w:rPr>
          <w:rFonts w:hint="eastAsia" w:ascii="等线" w:hAnsi="等线" w:eastAsia="等线" w:cs="等线"/>
          <w:b/>
          <w:bCs/>
          <w:color w:val="000000"/>
          <w:sz w:val="24"/>
          <w:u w:val="single"/>
          <w:lang w:val="en-US" w:eastAsia="zh-CN"/>
        </w:rPr>
      </w:pPr>
      <w:r>
        <w:rPr>
          <w:rFonts w:hint="eastAsia" w:ascii="等线" w:hAnsi="等线" w:eastAsia="等线" w:cs="等线"/>
          <w:b/>
          <w:bCs/>
          <w:color w:val="000000"/>
          <w:sz w:val="24"/>
          <w:u w:val="single"/>
          <w:lang w:val="en-US" w:eastAsia="zh-CN"/>
        </w:rPr>
        <w:t>2、投标文件送达地址：江西省宜春市袁州区科伦大道江西科伦医疗器械制造有限公司  收件人：王晖</w:t>
      </w:r>
      <w:bookmarkStart w:id="2" w:name="_Hlk109141912"/>
      <w:r>
        <w:rPr>
          <w:rFonts w:hint="eastAsia" w:ascii="等线" w:hAnsi="等线" w:eastAsia="等线" w:cs="等线"/>
          <w:b/>
          <w:bCs/>
          <w:color w:val="000000"/>
          <w:sz w:val="24"/>
          <w:u w:val="single"/>
          <w:lang w:val="en-US" w:eastAsia="zh-CN"/>
        </w:rPr>
        <w:t>158 3250 9000</w:t>
      </w:r>
      <w:bookmarkEnd w:id="2"/>
      <w:r>
        <w:rPr>
          <w:rFonts w:hint="eastAsia" w:ascii="等线" w:hAnsi="等线" w:eastAsia="等线" w:cs="等线"/>
          <w:b/>
          <w:bCs/>
          <w:color w:val="000000"/>
          <w:sz w:val="24"/>
          <w:u w:val="single"/>
          <w:lang w:val="en-US" w:eastAsia="zh-CN"/>
        </w:rPr>
        <w:t xml:space="preserve"> </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为避免混淆，请竞标人务必在邮件外包装上注明投标单位名称及投标项目名称，同时将快递单号发送给招标方联系人。</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3、为避免因标书邮寄延误造成不能按时开标，要求投标方在寄送投标文件的同时向招标方指定邮箱发送电子标书，电子标书内容须同投标文件内容相同，否则视为废标，报价无效。</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bCs/>
          <w:color w:val="000000"/>
          <w:sz w:val="24"/>
          <w:u w:val="single"/>
          <w:lang w:val="en-US" w:eastAsia="zh-CN"/>
        </w:rPr>
      </w:pPr>
      <w:r>
        <w:rPr>
          <w:rFonts w:hint="eastAsia" w:ascii="等线" w:hAnsi="等线" w:eastAsia="等线" w:cs="等线"/>
          <w:b/>
          <w:bCs/>
          <w:color w:val="000000"/>
          <w:sz w:val="24"/>
          <w:u w:val="single"/>
          <w:lang w:val="en-US" w:eastAsia="zh-CN"/>
        </w:rPr>
        <w:t>指定邮箱地址：zbzy@zhonghongpulin.cn</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4、开标地点：招标方暂定于2022年12月06日上午在江西科伦医疗器械制造有限公司总部组织进行项目的开标评标。开标时间如有变更，以招标方发布的通知为准。</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lang w:val="en-US" w:eastAsia="zh-CN"/>
        </w:rPr>
      </w:pPr>
      <w:r>
        <w:rPr>
          <w:rFonts w:hint="eastAsia" w:ascii="等线" w:hAnsi="等线" w:eastAsia="等线" w:cs="等线"/>
          <w:b/>
          <w:sz w:val="28"/>
          <w:szCs w:val="28"/>
          <w:highlight w:val="none"/>
          <w:lang w:val="en-US" w:eastAsia="zh-CN"/>
        </w:rPr>
        <w:t>十一、评标方式</w:t>
      </w:r>
    </w:p>
    <w:p>
      <w:pPr>
        <w:keepNext w:val="0"/>
        <w:keepLines w:val="0"/>
        <w:pageBreakBefore w:val="0"/>
        <w:kinsoku/>
        <w:wordWrap/>
        <w:overflowPunct/>
        <w:topLinePunct w:val="0"/>
        <w:autoSpaceDE/>
        <w:autoSpaceDN/>
        <w:bidi w:val="0"/>
        <w:adjustRightInd/>
        <w:snapToGrid/>
        <w:spacing w:line="540" w:lineRule="exact"/>
        <w:ind w:firstLine="240" w:firstLineChars="100"/>
        <w:textAlignment w:val="auto"/>
        <w:rPr>
          <w:rFonts w:hint="eastAsia" w:ascii="等线" w:hAnsi="等线" w:eastAsia="等线" w:cs="等线"/>
          <w:color w:val="000000"/>
          <w:sz w:val="24"/>
          <w:lang w:val="en-US" w:eastAsia="zh-CN"/>
        </w:rPr>
      </w:pPr>
      <w:r>
        <w:rPr>
          <w:rFonts w:hint="eastAsia" w:ascii="等线" w:hAnsi="等线" w:eastAsia="等线" w:cs="等线"/>
          <w:color w:val="auto"/>
          <w:sz w:val="24"/>
          <w:szCs w:val="24"/>
          <w:u w:val="none"/>
          <w:lang w:val="en-US" w:eastAsia="zh-CN"/>
        </w:rPr>
        <w:t>投标方递交的投标方案需经招标方评审通过后方可参加评标。本次招标采取综合评分法进行评标，在设计方案和技术要求均能满足要求的提前下，招标方根据评审后分数最高的原则确定中标单位。</w:t>
      </w:r>
      <w:r>
        <w:rPr>
          <w:rFonts w:hint="eastAsia" w:ascii="等线" w:hAnsi="等线" w:eastAsia="等线" w:cs="等线"/>
          <w:color w:val="000000"/>
          <w:sz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lang w:val="en-US" w:eastAsia="zh-CN"/>
        </w:rPr>
      </w:pPr>
      <w:r>
        <w:rPr>
          <w:rFonts w:hint="eastAsia" w:ascii="等线" w:hAnsi="等线" w:eastAsia="等线" w:cs="等线"/>
          <w:b/>
          <w:sz w:val="28"/>
          <w:szCs w:val="28"/>
          <w:highlight w:val="none"/>
          <w:lang w:val="en-US" w:eastAsia="zh-CN"/>
        </w:rPr>
        <w:t>十二、其他事项</w:t>
      </w:r>
    </w:p>
    <w:p>
      <w:pPr>
        <w:keepNext w:val="0"/>
        <w:keepLines w:val="0"/>
        <w:pageBreakBefore w:val="0"/>
        <w:numPr>
          <w:ilvl w:val="0"/>
          <w:numId w:val="1"/>
        </w:numPr>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招标结束后招标方发布招标情况公示，并为中标单位发送中标通知函、未中标单位发送未中标通知函。</w:t>
      </w:r>
    </w:p>
    <w:p>
      <w:pPr>
        <w:keepNext w:val="0"/>
        <w:keepLines w:val="0"/>
        <w:pageBreakBefore w:val="0"/>
        <w:numPr>
          <w:ilvl w:val="0"/>
          <w:numId w:val="0"/>
        </w:numPr>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2、招标方确定中标单位后，与中标单位签署《廉洁合作协议书》。</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lang w:val="en-US" w:eastAsia="zh-CN"/>
        </w:rPr>
      </w:pPr>
      <w:r>
        <w:rPr>
          <w:rFonts w:hint="eastAsia" w:ascii="等线" w:hAnsi="等线" w:eastAsia="等线" w:cs="等线"/>
          <w:color w:val="000000"/>
          <w:sz w:val="24"/>
          <w:lang w:val="en-US" w:eastAsia="zh-CN"/>
        </w:rPr>
        <w:t>3、如招标方在招标过程中有违法或违背招标文件相关要求的行为，投标单位可进行举报，举报邮箱：kelunyixie@163.com</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4、无论是否中标，竞标人的投标文件概不退还。</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4"/>
        </w:rPr>
      </w:pPr>
      <w:r>
        <w:rPr>
          <w:rFonts w:hint="eastAsia" w:ascii="等线" w:hAnsi="等线" w:eastAsia="等线" w:cs="等线"/>
          <w:color w:val="000000"/>
          <w:sz w:val="24"/>
          <w:lang w:val="en-US" w:eastAsia="zh-CN"/>
        </w:rPr>
        <w:t>5、、竞标人参加竞标时的一切费用由竞标人负担。</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b/>
          <w:sz w:val="28"/>
          <w:szCs w:val="28"/>
          <w:highlight w:val="none"/>
          <w:lang w:val="en-US" w:eastAsia="zh-CN"/>
        </w:rPr>
      </w:pPr>
      <w:r>
        <w:rPr>
          <w:rFonts w:hint="eastAsia" w:ascii="等线" w:hAnsi="等线" w:eastAsia="等线" w:cs="等线"/>
          <w:b/>
          <w:sz w:val="28"/>
          <w:szCs w:val="28"/>
          <w:highlight w:val="none"/>
          <w:lang w:val="en-US" w:eastAsia="zh-CN"/>
        </w:rPr>
        <w:t>十三、联系方式</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等线" w:hAnsi="等线" w:eastAsia="等线" w:cs="等线"/>
          <w:color w:val="000000"/>
          <w:sz w:val="24"/>
          <w:lang w:val="en-US" w:eastAsia="zh-CN"/>
        </w:rPr>
      </w:pPr>
      <w:r>
        <w:rPr>
          <w:rFonts w:hint="eastAsia" w:ascii="等线" w:hAnsi="等线" w:eastAsia="等线" w:cs="等线"/>
          <w:color w:val="000000"/>
          <w:sz w:val="24"/>
          <w:lang w:val="en-US" w:eastAsia="zh-CN"/>
        </w:rPr>
        <w:t>高鹏-13810718401（微信同号）    王晖-15832509000（微信同号）</w:t>
      </w:r>
    </w:p>
    <w:p>
      <w:pPr>
        <w:keepNext w:val="0"/>
        <w:keepLines w:val="0"/>
        <w:pageBreakBefore w:val="0"/>
        <w:kinsoku/>
        <w:wordWrap/>
        <w:overflowPunct/>
        <w:topLinePunct w:val="0"/>
        <w:autoSpaceDE/>
        <w:autoSpaceDN/>
        <w:bidi w:val="0"/>
        <w:adjustRightInd/>
        <w:snapToGrid/>
        <w:spacing w:line="540" w:lineRule="exact"/>
        <w:jc w:val="right"/>
        <w:textAlignment w:val="auto"/>
        <w:rPr>
          <w:rFonts w:hint="eastAsia" w:ascii="等线" w:hAnsi="等线" w:eastAsia="等线" w:cs="等线"/>
          <w:color w:val="000000"/>
          <w:sz w:val="24"/>
        </w:rPr>
      </w:pPr>
    </w:p>
    <w:p>
      <w:pPr>
        <w:keepNext w:val="0"/>
        <w:keepLines w:val="0"/>
        <w:pageBreakBefore w:val="0"/>
        <w:kinsoku/>
        <w:wordWrap/>
        <w:overflowPunct/>
        <w:topLinePunct w:val="0"/>
        <w:autoSpaceDE/>
        <w:autoSpaceDN/>
        <w:bidi w:val="0"/>
        <w:adjustRightInd/>
        <w:snapToGrid/>
        <w:spacing w:line="540" w:lineRule="exact"/>
        <w:jc w:val="right"/>
        <w:textAlignment w:val="auto"/>
        <w:rPr>
          <w:rFonts w:hint="eastAsia" w:ascii="等线" w:hAnsi="等线" w:eastAsia="等线" w:cs="等线"/>
          <w:color w:val="000000"/>
          <w:sz w:val="24"/>
        </w:rPr>
      </w:pPr>
    </w:p>
    <w:p>
      <w:pPr>
        <w:keepNext w:val="0"/>
        <w:keepLines w:val="0"/>
        <w:pageBreakBefore w:val="0"/>
        <w:kinsoku/>
        <w:wordWrap/>
        <w:overflowPunct/>
        <w:topLinePunct w:val="0"/>
        <w:autoSpaceDE/>
        <w:autoSpaceDN/>
        <w:bidi w:val="0"/>
        <w:adjustRightInd/>
        <w:snapToGrid/>
        <w:spacing w:line="540" w:lineRule="exact"/>
        <w:jc w:val="right"/>
        <w:textAlignment w:val="auto"/>
        <w:rPr>
          <w:rFonts w:hint="eastAsia" w:ascii="等线" w:hAnsi="等线" w:eastAsia="等线" w:cs="等线"/>
          <w:color w:val="000000"/>
          <w:sz w:val="24"/>
        </w:rPr>
      </w:pPr>
    </w:p>
    <w:p>
      <w:pPr>
        <w:keepNext w:val="0"/>
        <w:keepLines w:val="0"/>
        <w:pageBreakBefore w:val="0"/>
        <w:kinsoku/>
        <w:wordWrap/>
        <w:overflowPunct/>
        <w:topLinePunct w:val="0"/>
        <w:autoSpaceDE/>
        <w:autoSpaceDN/>
        <w:bidi w:val="0"/>
        <w:adjustRightInd/>
        <w:snapToGrid/>
        <w:spacing w:line="540" w:lineRule="exact"/>
        <w:jc w:val="right"/>
        <w:textAlignment w:val="auto"/>
        <w:rPr>
          <w:rFonts w:hint="eastAsia" w:ascii="等线" w:hAnsi="等线" w:eastAsia="等线" w:cs="等线"/>
          <w:color w:val="000000"/>
          <w:sz w:val="24"/>
        </w:rPr>
      </w:pPr>
    </w:p>
    <w:p>
      <w:pPr>
        <w:keepNext w:val="0"/>
        <w:keepLines w:val="0"/>
        <w:pageBreakBefore w:val="0"/>
        <w:kinsoku/>
        <w:wordWrap/>
        <w:overflowPunct/>
        <w:topLinePunct w:val="0"/>
        <w:autoSpaceDE/>
        <w:autoSpaceDN/>
        <w:bidi w:val="0"/>
        <w:adjustRightInd/>
        <w:snapToGrid/>
        <w:spacing w:line="540" w:lineRule="exact"/>
        <w:jc w:val="right"/>
        <w:textAlignment w:val="auto"/>
        <w:rPr>
          <w:rFonts w:hint="eastAsia" w:ascii="等线" w:hAnsi="等线" w:eastAsia="等线" w:cs="等线"/>
          <w:b/>
          <w:bCs/>
          <w:sz w:val="28"/>
          <w:szCs w:val="28"/>
        </w:rPr>
      </w:pPr>
      <w:r>
        <w:rPr>
          <w:rFonts w:hint="eastAsia" w:ascii="等线" w:hAnsi="等线" w:eastAsia="等线" w:cs="等线"/>
          <w:b/>
          <w:bCs/>
          <w:color w:val="000000"/>
          <w:sz w:val="28"/>
          <w:szCs w:val="28"/>
        </w:rPr>
        <w:t>江西科伦医疗器械制造有限公司</w:t>
      </w:r>
      <w:r>
        <w:rPr>
          <w:rFonts w:hint="eastAsia" w:ascii="等线" w:hAnsi="等线" w:eastAsia="等线" w:cs="等线"/>
          <w:b/>
          <w:bCs/>
          <w:sz w:val="28"/>
          <w:szCs w:val="28"/>
        </w:rPr>
        <w:t xml:space="preserve">　　             </w:t>
      </w:r>
    </w:p>
    <w:p>
      <w:pPr>
        <w:keepNext w:val="0"/>
        <w:keepLines w:val="0"/>
        <w:pageBreakBefore w:val="0"/>
        <w:kinsoku/>
        <w:wordWrap/>
        <w:overflowPunct/>
        <w:topLinePunct w:val="0"/>
        <w:autoSpaceDE/>
        <w:autoSpaceDN/>
        <w:bidi w:val="0"/>
        <w:adjustRightInd/>
        <w:snapToGrid/>
        <w:spacing w:line="540" w:lineRule="exact"/>
        <w:jc w:val="right"/>
        <w:textAlignment w:val="auto"/>
        <w:rPr>
          <w:rFonts w:hint="eastAsia" w:ascii="等线" w:hAnsi="等线" w:eastAsia="等线" w:cs="等线"/>
          <w:b/>
          <w:bCs/>
          <w:sz w:val="28"/>
          <w:szCs w:val="28"/>
        </w:rPr>
      </w:pPr>
      <w:r>
        <w:rPr>
          <w:rFonts w:hint="eastAsia" w:ascii="等线" w:hAnsi="等线" w:eastAsia="等线" w:cs="等线"/>
          <w:b/>
          <w:bCs/>
          <w:sz w:val="28"/>
          <w:szCs w:val="28"/>
        </w:rPr>
        <w:t xml:space="preserve"> </w:t>
      </w:r>
    </w:p>
    <w:p>
      <w:pPr>
        <w:keepNext w:val="0"/>
        <w:keepLines w:val="0"/>
        <w:pageBreakBefore w:val="0"/>
        <w:kinsoku/>
        <w:wordWrap/>
        <w:overflowPunct/>
        <w:topLinePunct w:val="0"/>
        <w:autoSpaceDE/>
        <w:autoSpaceDN/>
        <w:bidi w:val="0"/>
        <w:adjustRightInd/>
        <w:snapToGrid/>
        <w:spacing w:line="540" w:lineRule="exact"/>
        <w:jc w:val="right"/>
        <w:textAlignment w:val="auto"/>
        <w:rPr>
          <w:rFonts w:hint="eastAsia" w:ascii="等线" w:hAnsi="等线" w:eastAsia="等线" w:cs="等线"/>
          <w:bCs/>
          <w:sz w:val="28"/>
          <w:szCs w:val="28"/>
        </w:rPr>
      </w:pPr>
      <w:r>
        <w:rPr>
          <w:rFonts w:hint="eastAsia" w:ascii="等线" w:hAnsi="等线" w:eastAsia="等线" w:cs="等线"/>
          <w:b/>
          <w:bCs/>
          <w:sz w:val="28"/>
          <w:szCs w:val="28"/>
        </w:rPr>
        <w:t>2022年</w:t>
      </w:r>
      <w:r>
        <w:rPr>
          <w:rFonts w:hint="eastAsia" w:ascii="等线" w:hAnsi="等线" w:eastAsia="等线" w:cs="等线"/>
          <w:b/>
          <w:bCs/>
          <w:sz w:val="28"/>
          <w:szCs w:val="28"/>
          <w:lang w:val="en-US" w:eastAsia="zh-CN"/>
        </w:rPr>
        <w:t>11</w:t>
      </w:r>
      <w:r>
        <w:rPr>
          <w:rFonts w:hint="eastAsia" w:ascii="等线" w:hAnsi="等线" w:eastAsia="等线" w:cs="等线"/>
          <w:b/>
          <w:bCs/>
          <w:sz w:val="28"/>
          <w:szCs w:val="28"/>
        </w:rPr>
        <w:t>月</w:t>
      </w:r>
      <w:r>
        <w:rPr>
          <w:rFonts w:hint="eastAsia" w:ascii="等线" w:hAnsi="等线" w:eastAsia="等线" w:cs="等线"/>
          <w:b/>
          <w:bCs/>
          <w:sz w:val="28"/>
          <w:szCs w:val="28"/>
          <w:lang w:val="en-US" w:eastAsia="zh-CN"/>
        </w:rPr>
        <w:t>15</w:t>
      </w:r>
      <w:r>
        <w:rPr>
          <w:rFonts w:hint="eastAsia" w:ascii="等线" w:hAnsi="等线" w:eastAsia="等线" w:cs="等线"/>
          <w:b/>
          <w:bCs/>
          <w:sz w:val="28"/>
          <w:szCs w:val="28"/>
        </w:rPr>
        <w:t>日</w:t>
      </w:r>
      <w:bookmarkStart w:id="3" w:name="_Toc17282884"/>
    </w:p>
    <w:p>
      <w:pPr>
        <w:ind w:left="420" w:leftChars="200" w:firstLine="3240" w:firstLineChars="1350"/>
        <w:jc w:val="right"/>
        <w:rPr>
          <w:rFonts w:hint="eastAsia" w:ascii="等线" w:hAnsi="等线" w:eastAsia="等线" w:cs="等线"/>
          <w:bCs/>
          <w:sz w:val="24"/>
        </w:rPr>
      </w:pPr>
    </w:p>
    <w:bookmarkEnd w:id="3"/>
    <w:p>
      <w:pPr>
        <w:rPr>
          <w:rFonts w:hint="eastAsia" w:ascii="等线" w:hAnsi="等线" w:eastAsia="等线" w:cs="等线"/>
          <w:sz w:val="28"/>
          <w:szCs w:val="28"/>
        </w:rPr>
      </w:pPr>
    </w:p>
    <w:sectPr>
      <w:pgSz w:w="11906" w:h="16838"/>
      <w:pgMar w:top="1134" w:right="1080" w:bottom="1134"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526F83"/>
    <w:multiLevelType w:val="singleLevel"/>
    <w:tmpl w:val="49526F8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6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yZTZhNjkzYzQ3OTYyOWU2YzgxZjI3ZjlmOGQzODkifQ=="/>
  </w:docVars>
  <w:rsids>
    <w:rsidRoot w:val="009F77A3"/>
    <w:rsid w:val="00006798"/>
    <w:rsid w:val="0001244A"/>
    <w:rsid w:val="000124B1"/>
    <w:rsid w:val="00021445"/>
    <w:rsid w:val="00047158"/>
    <w:rsid w:val="00050C3D"/>
    <w:rsid w:val="00053494"/>
    <w:rsid w:val="00054BA1"/>
    <w:rsid w:val="00054EC4"/>
    <w:rsid w:val="00060B40"/>
    <w:rsid w:val="00075E46"/>
    <w:rsid w:val="00080D9F"/>
    <w:rsid w:val="00082454"/>
    <w:rsid w:val="00082BFD"/>
    <w:rsid w:val="0008438F"/>
    <w:rsid w:val="0009236B"/>
    <w:rsid w:val="00093109"/>
    <w:rsid w:val="00096746"/>
    <w:rsid w:val="00096F8B"/>
    <w:rsid w:val="000A05DE"/>
    <w:rsid w:val="000A1080"/>
    <w:rsid w:val="000A20D6"/>
    <w:rsid w:val="000A5D4F"/>
    <w:rsid w:val="000B27F4"/>
    <w:rsid w:val="000B71AF"/>
    <w:rsid w:val="000B7CBF"/>
    <w:rsid w:val="000C3EFB"/>
    <w:rsid w:val="000C4DB3"/>
    <w:rsid w:val="000D089C"/>
    <w:rsid w:val="000E02E3"/>
    <w:rsid w:val="000E10DA"/>
    <w:rsid w:val="000F0D3E"/>
    <w:rsid w:val="000F2961"/>
    <w:rsid w:val="00100183"/>
    <w:rsid w:val="00101448"/>
    <w:rsid w:val="001121D2"/>
    <w:rsid w:val="00124588"/>
    <w:rsid w:val="00131C4E"/>
    <w:rsid w:val="00133A98"/>
    <w:rsid w:val="00135389"/>
    <w:rsid w:val="001416B8"/>
    <w:rsid w:val="0014178E"/>
    <w:rsid w:val="00154ACD"/>
    <w:rsid w:val="00174D10"/>
    <w:rsid w:val="001862D2"/>
    <w:rsid w:val="00193C09"/>
    <w:rsid w:val="0019749E"/>
    <w:rsid w:val="001A25C6"/>
    <w:rsid w:val="001A558F"/>
    <w:rsid w:val="001C5AED"/>
    <w:rsid w:val="001C666D"/>
    <w:rsid w:val="001D164D"/>
    <w:rsid w:val="001D36E3"/>
    <w:rsid w:val="001D496B"/>
    <w:rsid w:val="001E54C4"/>
    <w:rsid w:val="001F0902"/>
    <w:rsid w:val="001F2C4D"/>
    <w:rsid w:val="001F72CB"/>
    <w:rsid w:val="00203B54"/>
    <w:rsid w:val="00213FDA"/>
    <w:rsid w:val="002159A5"/>
    <w:rsid w:val="002160DE"/>
    <w:rsid w:val="00226F66"/>
    <w:rsid w:val="0023744F"/>
    <w:rsid w:val="0024354A"/>
    <w:rsid w:val="002441DB"/>
    <w:rsid w:val="00246B42"/>
    <w:rsid w:val="0025689C"/>
    <w:rsid w:val="00260F60"/>
    <w:rsid w:val="002679B4"/>
    <w:rsid w:val="00284E07"/>
    <w:rsid w:val="002A4817"/>
    <w:rsid w:val="002A65D0"/>
    <w:rsid w:val="002B322F"/>
    <w:rsid w:val="002B50DA"/>
    <w:rsid w:val="002C3B6D"/>
    <w:rsid w:val="002C525E"/>
    <w:rsid w:val="002C7E8B"/>
    <w:rsid w:val="002D399B"/>
    <w:rsid w:val="002D53E7"/>
    <w:rsid w:val="002D59D7"/>
    <w:rsid w:val="002F08CC"/>
    <w:rsid w:val="002F6319"/>
    <w:rsid w:val="003004FA"/>
    <w:rsid w:val="0030056A"/>
    <w:rsid w:val="00300F98"/>
    <w:rsid w:val="003048D2"/>
    <w:rsid w:val="00323FAE"/>
    <w:rsid w:val="00324002"/>
    <w:rsid w:val="003248B6"/>
    <w:rsid w:val="003634BA"/>
    <w:rsid w:val="0036709C"/>
    <w:rsid w:val="00372C1A"/>
    <w:rsid w:val="00373DF3"/>
    <w:rsid w:val="0037715E"/>
    <w:rsid w:val="00380D65"/>
    <w:rsid w:val="0039773D"/>
    <w:rsid w:val="003A68C0"/>
    <w:rsid w:val="003B2C50"/>
    <w:rsid w:val="003C65C3"/>
    <w:rsid w:val="003D07A5"/>
    <w:rsid w:val="003E0B84"/>
    <w:rsid w:val="003E215C"/>
    <w:rsid w:val="003E4220"/>
    <w:rsid w:val="003E7B59"/>
    <w:rsid w:val="003F1E25"/>
    <w:rsid w:val="003F4ACC"/>
    <w:rsid w:val="003F5827"/>
    <w:rsid w:val="003F7039"/>
    <w:rsid w:val="00403A34"/>
    <w:rsid w:val="0040534E"/>
    <w:rsid w:val="00410531"/>
    <w:rsid w:val="004114FF"/>
    <w:rsid w:val="00416613"/>
    <w:rsid w:val="0044166A"/>
    <w:rsid w:val="004423EC"/>
    <w:rsid w:val="00444349"/>
    <w:rsid w:val="00444490"/>
    <w:rsid w:val="0044799A"/>
    <w:rsid w:val="00452D9F"/>
    <w:rsid w:val="0045398A"/>
    <w:rsid w:val="004554B9"/>
    <w:rsid w:val="004559B3"/>
    <w:rsid w:val="00461F4F"/>
    <w:rsid w:val="00462562"/>
    <w:rsid w:val="004633B3"/>
    <w:rsid w:val="004643D8"/>
    <w:rsid w:val="00470392"/>
    <w:rsid w:val="00473EAB"/>
    <w:rsid w:val="004817E6"/>
    <w:rsid w:val="004956E2"/>
    <w:rsid w:val="004969F9"/>
    <w:rsid w:val="004A4A12"/>
    <w:rsid w:val="004B5CC0"/>
    <w:rsid w:val="004B78A4"/>
    <w:rsid w:val="004C2D66"/>
    <w:rsid w:val="004C3D9D"/>
    <w:rsid w:val="004D5C21"/>
    <w:rsid w:val="004E04B4"/>
    <w:rsid w:val="004E1B2D"/>
    <w:rsid w:val="004E7270"/>
    <w:rsid w:val="004F1072"/>
    <w:rsid w:val="004F342E"/>
    <w:rsid w:val="00504210"/>
    <w:rsid w:val="005130AD"/>
    <w:rsid w:val="005149CB"/>
    <w:rsid w:val="00514E57"/>
    <w:rsid w:val="005166FC"/>
    <w:rsid w:val="00531AB2"/>
    <w:rsid w:val="0054243C"/>
    <w:rsid w:val="00546995"/>
    <w:rsid w:val="00550206"/>
    <w:rsid w:val="00571E15"/>
    <w:rsid w:val="00572029"/>
    <w:rsid w:val="00585EA6"/>
    <w:rsid w:val="00597459"/>
    <w:rsid w:val="005A5D56"/>
    <w:rsid w:val="005B10AB"/>
    <w:rsid w:val="005B68B6"/>
    <w:rsid w:val="005C222F"/>
    <w:rsid w:val="005C5A5B"/>
    <w:rsid w:val="005C5E80"/>
    <w:rsid w:val="005D0EB9"/>
    <w:rsid w:val="005D3885"/>
    <w:rsid w:val="005E1168"/>
    <w:rsid w:val="005E1CED"/>
    <w:rsid w:val="005E4C93"/>
    <w:rsid w:val="005F0868"/>
    <w:rsid w:val="005F346D"/>
    <w:rsid w:val="005F726E"/>
    <w:rsid w:val="00600175"/>
    <w:rsid w:val="006020CF"/>
    <w:rsid w:val="0061138D"/>
    <w:rsid w:val="00612D7D"/>
    <w:rsid w:val="00613B8E"/>
    <w:rsid w:val="006145EA"/>
    <w:rsid w:val="00615ADB"/>
    <w:rsid w:val="00625525"/>
    <w:rsid w:val="00637EA9"/>
    <w:rsid w:val="0064078D"/>
    <w:rsid w:val="00640954"/>
    <w:rsid w:val="00647783"/>
    <w:rsid w:val="00660ABB"/>
    <w:rsid w:val="0066309A"/>
    <w:rsid w:val="006669EC"/>
    <w:rsid w:val="0066796F"/>
    <w:rsid w:val="00672B76"/>
    <w:rsid w:val="006863DD"/>
    <w:rsid w:val="006958D0"/>
    <w:rsid w:val="006A18E2"/>
    <w:rsid w:val="006A1F12"/>
    <w:rsid w:val="006A2C49"/>
    <w:rsid w:val="006A3B68"/>
    <w:rsid w:val="006A6A27"/>
    <w:rsid w:val="006D253E"/>
    <w:rsid w:val="006D67F9"/>
    <w:rsid w:val="006D6BDD"/>
    <w:rsid w:val="006E0339"/>
    <w:rsid w:val="006E74D8"/>
    <w:rsid w:val="006F196C"/>
    <w:rsid w:val="006F3DC2"/>
    <w:rsid w:val="006F729C"/>
    <w:rsid w:val="00707191"/>
    <w:rsid w:val="007071B1"/>
    <w:rsid w:val="007125B8"/>
    <w:rsid w:val="007211B2"/>
    <w:rsid w:val="00725C3D"/>
    <w:rsid w:val="00745F33"/>
    <w:rsid w:val="007760DC"/>
    <w:rsid w:val="00780D68"/>
    <w:rsid w:val="00785577"/>
    <w:rsid w:val="00793E61"/>
    <w:rsid w:val="007B03E1"/>
    <w:rsid w:val="007C6276"/>
    <w:rsid w:val="007D6BA3"/>
    <w:rsid w:val="007D7B4A"/>
    <w:rsid w:val="007D7FD7"/>
    <w:rsid w:val="007E0BA3"/>
    <w:rsid w:val="007E2AAB"/>
    <w:rsid w:val="007E4024"/>
    <w:rsid w:val="007F064D"/>
    <w:rsid w:val="007F1E05"/>
    <w:rsid w:val="007F7668"/>
    <w:rsid w:val="0080271C"/>
    <w:rsid w:val="00802E04"/>
    <w:rsid w:val="008165D7"/>
    <w:rsid w:val="00824C71"/>
    <w:rsid w:val="00837FAE"/>
    <w:rsid w:val="00845603"/>
    <w:rsid w:val="0086382C"/>
    <w:rsid w:val="008743D0"/>
    <w:rsid w:val="00876EAF"/>
    <w:rsid w:val="0089386C"/>
    <w:rsid w:val="008A2AAB"/>
    <w:rsid w:val="008A3660"/>
    <w:rsid w:val="008B3849"/>
    <w:rsid w:val="008B520F"/>
    <w:rsid w:val="008C4AE4"/>
    <w:rsid w:val="008C4EB9"/>
    <w:rsid w:val="008C63FA"/>
    <w:rsid w:val="008D0A5C"/>
    <w:rsid w:val="008E1C03"/>
    <w:rsid w:val="008F14CA"/>
    <w:rsid w:val="008F332E"/>
    <w:rsid w:val="008F401C"/>
    <w:rsid w:val="008F7305"/>
    <w:rsid w:val="00900B2A"/>
    <w:rsid w:val="009026A5"/>
    <w:rsid w:val="00904A26"/>
    <w:rsid w:val="00911737"/>
    <w:rsid w:val="00912B22"/>
    <w:rsid w:val="00915B62"/>
    <w:rsid w:val="009528BD"/>
    <w:rsid w:val="00956407"/>
    <w:rsid w:val="00960DE5"/>
    <w:rsid w:val="00962ED2"/>
    <w:rsid w:val="009644F3"/>
    <w:rsid w:val="009673CE"/>
    <w:rsid w:val="00976896"/>
    <w:rsid w:val="009774A9"/>
    <w:rsid w:val="00980BAC"/>
    <w:rsid w:val="00981CD6"/>
    <w:rsid w:val="00987ADC"/>
    <w:rsid w:val="00996E9B"/>
    <w:rsid w:val="009A2F7A"/>
    <w:rsid w:val="009A4E5B"/>
    <w:rsid w:val="009B0684"/>
    <w:rsid w:val="009B1362"/>
    <w:rsid w:val="009C6FB0"/>
    <w:rsid w:val="009C7992"/>
    <w:rsid w:val="009E5472"/>
    <w:rsid w:val="009F77A3"/>
    <w:rsid w:val="00A04186"/>
    <w:rsid w:val="00A06E9E"/>
    <w:rsid w:val="00A17E85"/>
    <w:rsid w:val="00A24894"/>
    <w:rsid w:val="00A33D36"/>
    <w:rsid w:val="00A340B3"/>
    <w:rsid w:val="00A365F8"/>
    <w:rsid w:val="00A5618F"/>
    <w:rsid w:val="00A57133"/>
    <w:rsid w:val="00A61A88"/>
    <w:rsid w:val="00A61F80"/>
    <w:rsid w:val="00A770BF"/>
    <w:rsid w:val="00A82897"/>
    <w:rsid w:val="00A96C30"/>
    <w:rsid w:val="00AA17D4"/>
    <w:rsid w:val="00AD733D"/>
    <w:rsid w:val="00AD753C"/>
    <w:rsid w:val="00AF77FD"/>
    <w:rsid w:val="00B075CE"/>
    <w:rsid w:val="00B161B8"/>
    <w:rsid w:val="00B21316"/>
    <w:rsid w:val="00B239DD"/>
    <w:rsid w:val="00B2466C"/>
    <w:rsid w:val="00B30EE2"/>
    <w:rsid w:val="00B327AC"/>
    <w:rsid w:val="00B50093"/>
    <w:rsid w:val="00B665D3"/>
    <w:rsid w:val="00B70E34"/>
    <w:rsid w:val="00B77A53"/>
    <w:rsid w:val="00B77A68"/>
    <w:rsid w:val="00B81DB7"/>
    <w:rsid w:val="00B838E4"/>
    <w:rsid w:val="00B91C54"/>
    <w:rsid w:val="00BA4A10"/>
    <w:rsid w:val="00BA59B0"/>
    <w:rsid w:val="00BC5DEF"/>
    <w:rsid w:val="00BF422E"/>
    <w:rsid w:val="00BF5D38"/>
    <w:rsid w:val="00BF7F45"/>
    <w:rsid w:val="00C02C98"/>
    <w:rsid w:val="00C04A09"/>
    <w:rsid w:val="00C051AD"/>
    <w:rsid w:val="00C15DB1"/>
    <w:rsid w:val="00C236B1"/>
    <w:rsid w:val="00C30596"/>
    <w:rsid w:val="00C42417"/>
    <w:rsid w:val="00C469BC"/>
    <w:rsid w:val="00C50C83"/>
    <w:rsid w:val="00C564B7"/>
    <w:rsid w:val="00C62C43"/>
    <w:rsid w:val="00C63A4D"/>
    <w:rsid w:val="00C6626E"/>
    <w:rsid w:val="00C6654E"/>
    <w:rsid w:val="00C7268D"/>
    <w:rsid w:val="00C81139"/>
    <w:rsid w:val="00C81E76"/>
    <w:rsid w:val="00C8276C"/>
    <w:rsid w:val="00C92482"/>
    <w:rsid w:val="00CA6354"/>
    <w:rsid w:val="00CB643E"/>
    <w:rsid w:val="00CB686D"/>
    <w:rsid w:val="00CB733D"/>
    <w:rsid w:val="00CC026D"/>
    <w:rsid w:val="00CC40D8"/>
    <w:rsid w:val="00CC4650"/>
    <w:rsid w:val="00CC678A"/>
    <w:rsid w:val="00CD00D0"/>
    <w:rsid w:val="00CE1DEC"/>
    <w:rsid w:val="00CE47FF"/>
    <w:rsid w:val="00CE6FA8"/>
    <w:rsid w:val="00CF5B96"/>
    <w:rsid w:val="00D065B6"/>
    <w:rsid w:val="00D15C55"/>
    <w:rsid w:val="00D25316"/>
    <w:rsid w:val="00D26F63"/>
    <w:rsid w:val="00D368DF"/>
    <w:rsid w:val="00D43345"/>
    <w:rsid w:val="00D43CDC"/>
    <w:rsid w:val="00D45B9D"/>
    <w:rsid w:val="00D50107"/>
    <w:rsid w:val="00D5062F"/>
    <w:rsid w:val="00D62DE1"/>
    <w:rsid w:val="00D640FA"/>
    <w:rsid w:val="00D748AF"/>
    <w:rsid w:val="00D767E2"/>
    <w:rsid w:val="00D87443"/>
    <w:rsid w:val="00DA4EF6"/>
    <w:rsid w:val="00DB0D1E"/>
    <w:rsid w:val="00DB0DC5"/>
    <w:rsid w:val="00DC09FB"/>
    <w:rsid w:val="00DC7087"/>
    <w:rsid w:val="00DC7DB9"/>
    <w:rsid w:val="00DD0FAA"/>
    <w:rsid w:val="00DE1518"/>
    <w:rsid w:val="00DF15DE"/>
    <w:rsid w:val="00DF2B6B"/>
    <w:rsid w:val="00DF5264"/>
    <w:rsid w:val="00E037FA"/>
    <w:rsid w:val="00E15D22"/>
    <w:rsid w:val="00E171B6"/>
    <w:rsid w:val="00E200E3"/>
    <w:rsid w:val="00E228D1"/>
    <w:rsid w:val="00E23C7B"/>
    <w:rsid w:val="00E304BC"/>
    <w:rsid w:val="00E322A0"/>
    <w:rsid w:val="00E33954"/>
    <w:rsid w:val="00E3486E"/>
    <w:rsid w:val="00E47611"/>
    <w:rsid w:val="00E53A3C"/>
    <w:rsid w:val="00E57C8D"/>
    <w:rsid w:val="00E770F2"/>
    <w:rsid w:val="00EA5181"/>
    <w:rsid w:val="00EA546A"/>
    <w:rsid w:val="00EB2079"/>
    <w:rsid w:val="00EB35F9"/>
    <w:rsid w:val="00EC7CE2"/>
    <w:rsid w:val="00ED0DD7"/>
    <w:rsid w:val="00ED10B0"/>
    <w:rsid w:val="00ED2025"/>
    <w:rsid w:val="00ED23AC"/>
    <w:rsid w:val="00EE12BA"/>
    <w:rsid w:val="00EE2210"/>
    <w:rsid w:val="00EE5C5C"/>
    <w:rsid w:val="00EF2462"/>
    <w:rsid w:val="00EF36F4"/>
    <w:rsid w:val="00EF6B88"/>
    <w:rsid w:val="00F00230"/>
    <w:rsid w:val="00F12541"/>
    <w:rsid w:val="00F1267F"/>
    <w:rsid w:val="00F17611"/>
    <w:rsid w:val="00F2223F"/>
    <w:rsid w:val="00F25764"/>
    <w:rsid w:val="00F32B05"/>
    <w:rsid w:val="00F47920"/>
    <w:rsid w:val="00F67C39"/>
    <w:rsid w:val="00F71254"/>
    <w:rsid w:val="00F76E7B"/>
    <w:rsid w:val="00F94AE0"/>
    <w:rsid w:val="00F972DC"/>
    <w:rsid w:val="00FA4897"/>
    <w:rsid w:val="00FA4C1C"/>
    <w:rsid w:val="00FA7343"/>
    <w:rsid w:val="00FB19FB"/>
    <w:rsid w:val="00FB2411"/>
    <w:rsid w:val="00FE4065"/>
    <w:rsid w:val="00FF3A05"/>
    <w:rsid w:val="034C054A"/>
    <w:rsid w:val="06033790"/>
    <w:rsid w:val="075F5FA7"/>
    <w:rsid w:val="076255BF"/>
    <w:rsid w:val="078A6861"/>
    <w:rsid w:val="07FB23B3"/>
    <w:rsid w:val="08993853"/>
    <w:rsid w:val="08CD7164"/>
    <w:rsid w:val="08DE2508"/>
    <w:rsid w:val="0A7C4765"/>
    <w:rsid w:val="0B4579B6"/>
    <w:rsid w:val="0B6B36C4"/>
    <w:rsid w:val="0BB15E31"/>
    <w:rsid w:val="0C14320B"/>
    <w:rsid w:val="0D795650"/>
    <w:rsid w:val="0DF95216"/>
    <w:rsid w:val="0E407A3D"/>
    <w:rsid w:val="0F90730D"/>
    <w:rsid w:val="10661113"/>
    <w:rsid w:val="10C446CF"/>
    <w:rsid w:val="10F43F2A"/>
    <w:rsid w:val="10FE2CBE"/>
    <w:rsid w:val="12983E15"/>
    <w:rsid w:val="129B28AF"/>
    <w:rsid w:val="172658E5"/>
    <w:rsid w:val="176439F4"/>
    <w:rsid w:val="17DE346B"/>
    <w:rsid w:val="183122AB"/>
    <w:rsid w:val="18C34894"/>
    <w:rsid w:val="1A733DD7"/>
    <w:rsid w:val="1AC568CA"/>
    <w:rsid w:val="1C702230"/>
    <w:rsid w:val="1D460871"/>
    <w:rsid w:val="1D721295"/>
    <w:rsid w:val="1E285EAA"/>
    <w:rsid w:val="1EE26A19"/>
    <w:rsid w:val="2005362F"/>
    <w:rsid w:val="208F41A7"/>
    <w:rsid w:val="21554E01"/>
    <w:rsid w:val="2181299C"/>
    <w:rsid w:val="22EF3EB4"/>
    <w:rsid w:val="23CE4567"/>
    <w:rsid w:val="25525364"/>
    <w:rsid w:val="258A6D53"/>
    <w:rsid w:val="25F1094F"/>
    <w:rsid w:val="26014B32"/>
    <w:rsid w:val="265144D6"/>
    <w:rsid w:val="26892E94"/>
    <w:rsid w:val="273B715A"/>
    <w:rsid w:val="27992052"/>
    <w:rsid w:val="27EF4D97"/>
    <w:rsid w:val="28284B79"/>
    <w:rsid w:val="2A125006"/>
    <w:rsid w:val="2A4E615C"/>
    <w:rsid w:val="2A8E6366"/>
    <w:rsid w:val="2AF1311F"/>
    <w:rsid w:val="2AFC05D2"/>
    <w:rsid w:val="2BA61F13"/>
    <w:rsid w:val="2C3421BE"/>
    <w:rsid w:val="2D516CA9"/>
    <w:rsid w:val="30FF3ADB"/>
    <w:rsid w:val="31FC0D5B"/>
    <w:rsid w:val="33862D52"/>
    <w:rsid w:val="34AB16B1"/>
    <w:rsid w:val="354205AB"/>
    <w:rsid w:val="375D010A"/>
    <w:rsid w:val="37CE7270"/>
    <w:rsid w:val="38A85E8A"/>
    <w:rsid w:val="391E66AA"/>
    <w:rsid w:val="39427C32"/>
    <w:rsid w:val="3A8F0ED5"/>
    <w:rsid w:val="3B3A26E2"/>
    <w:rsid w:val="3B8A07D9"/>
    <w:rsid w:val="3BDA24B7"/>
    <w:rsid w:val="3CE16E54"/>
    <w:rsid w:val="3E38086D"/>
    <w:rsid w:val="3E5C75A5"/>
    <w:rsid w:val="3ECA0DC7"/>
    <w:rsid w:val="3FA82EF3"/>
    <w:rsid w:val="40512D48"/>
    <w:rsid w:val="406B2C63"/>
    <w:rsid w:val="41A0743E"/>
    <w:rsid w:val="42F47C2B"/>
    <w:rsid w:val="43004487"/>
    <w:rsid w:val="438F3837"/>
    <w:rsid w:val="47226E3F"/>
    <w:rsid w:val="480E1955"/>
    <w:rsid w:val="49CB684C"/>
    <w:rsid w:val="49D618B2"/>
    <w:rsid w:val="4A4C0A8A"/>
    <w:rsid w:val="4ABD6546"/>
    <w:rsid w:val="4AE35779"/>
    <w:rsid w:val="4AEA4A09"/>
    <w:rsid w:val="4BD129F7"/>
    <w:rsid w:val="4D334771"/>
    <w:rsid w:val="4DF56856"/>
    <w:rsid w:val="4E866B6A"/>
    <w:rsid w:val="4F141822"/>
    <w:rsid w:val="4F4B1D69"/>
    <w:rsid w:val="5014210C"/>
    <w:rsid w:val="505B7BEF"/>
    <w:rsid w:val="50D46C3C"/>
    <w:rsid w:val="5187672D"/>
    <w:rsid w:val="51F83145"/>
    <w:rsid w:val="55A10FD8"/>
    <w:rsid w:val="55B150D8"/>
    <w:rsid w:val="55C16752"/>
    <w:rsid w:val="55D743A1"/>
    <w:rsid w:val="55F30216"/>
    <w:rsid w:val="57201A2B"/>
    <w:rsid w:val="58BE629F"/>
    <w:rsid w:val="5AAB76C7"/>
    <w:rsid w:val="5B4D51C8"/>
    <w:rsid w:val="5DD27F11"/>
    <w:rsid w:val="5F49565B"/>
    <w:rsid w:val="5F935AC9"/>
    <w:rsid w:val="5FA3676E"/>
    <w:rsid w:val="60674A42"/>
    <w:rsid w:val="60BE0B08"/>
    <w:rsid w:val="61C62D6D"/>
    <w:rsid w:val="626D2AC1"/>
    <w:rsid w:val="62EE7D41"/>
    <w:rsid w:val="63666DD1"/>
    <w:rsid w:val="641C56CD"/>
    <w:rsid w:val="64A0117F"/>
    <w:rsid w:val="653C2FA6"/>
    <w:rsid w:val="66D7037B"/>
    <w:rsid w:val="673630E8"/>
    <w:rsid w:val="67FD21E1"/>
    <w:rsid w:val="6A2C5AD4"/>
    <w:rsid w:val="6A7C11F6"/>
    <w:rsid w:val="6B6B3BBC"/>
    <w:rsid w:val="6BE83CA4"/>
    <w:rsid w:val="6C091155"/>
    <w:rsid w:val="6C582CD7"/>
    <w:rsid w:val="6C5A02AB"/>
    <w:rsid w:val="6E39421C"/>
    <w:rsid w:val="70AB501F"/>
    <w:rsid w:val="70F07692"/>
    <w:rsid w:val="72947ABA"/>
    <w:rsid w:val="72974884"/>
    <w:rsid w:val="72B74696"/>
    <w:rsid w:val="730035C2"/>
    <w:rsid w:val="731E12D9"/>
    <w:rsid w:val="74403019"/>
    <w:rsid w:val="75240DF5"/>
    <w:rsid w:val="76687AB2"/>
    <w:rsid w:val="78BA149D"/>
    <w:rsid w:val="79383FB7"/>
    <w:rsid w:val="7A6A4A7C"/>
    <w:rsid w:val="7D190CC4"/>
    <w:rsid w:val="7E586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0"/>
    <w:pPr>
      <w:keepNext/>
      <w:spacing w:beforeLines="50" w:afterLines="50" w:line="440" w:lineRule="exact"/>
      <w:jc w:val="center"/>
      <w:outlineLvl w:val="0"/>
    </w:pPr>
    <w:rPr>
      <w:rFonts w:ascii="宋体" w:hAnsi="宋体"/>
      <w:b/>
      <w:bCs/>
      <w:sz w:val="30"/>
      <w:szCs w:val="20"/>
    </w:rPr>
  </w:style>
  <w:style w:type="paragraph" w:styleId="4">
    <w:name w:val="heading 2"/>
    <w:next w:val="1"/>
    <w:link w:val="25"/>
    <w:semiHidden/>
    <w:unhideWhenUsed/>
    <w:qFormat/>
    <w:uiPriority w:val="0"/>
    <w:pPr>
      <w:keepNext/>
      <w:keepLines/>
      <w:spacing w:beforeLines="50" w:after="120" w:line="460" w:lineRule="exact"/>
      <w:jc w:val="center"/>
      <w:outlineLvl w:val="1"/>
    </w:pPr>
    <w:rPr>
      <w:rFonts w:ascii="宋体" w:hAnsi="宋体" w:eastAsia="宋体" w:cstheme="majorBidi"/>
      <w:b/>
      <w:bCs/>
      <w:kern w:val="2"/>
      <w:sz w:val="28"/>
      <w:szCs w:val="28"/>
      <w:lang w:val="en-US" w:eastAsia="zh-CN" w:bidi="ar-SA"/>
    </w:rPr>
  </w:style>
  <w:style w:type="paragraph" w:styleId="5">
    <w:name w:val="heading 3"/>
    <w:next w:val="1"/>
    <w:link w:val="26"/>
    <w:semiHidden/>
    <w:unhideWhenUsed/>
    <w:qFormat/>
    <w:uiPriority w:val="0"/>
    <w:pPr>
      <w:keepNext/>
      <w:keepLines/>
      <w:spacing w:line="500" w:lineRule="exact"/>
      <w:outlineLvl w:val="2"/>
    </w:pPr>
    <w:rPr>
      <w:rFonts w:ascii="宋体" w:hAnsi="宋体" w:eastAsia="宋体" w:cs="Times New Roman"/>
      <w:b/>
      <w:bCs/>
      <w:kern w:val="2"/>
      <w:sz w:val="24"/>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style>
  <w:style w:type="paragraph" w:styleId="6">
    <w:name w:val="Body Text"/>
    <w:basedOn w:val="1"/>
    <w:link w:val="19"/>
    <w:semiHidden/>
    <w:qFormat/>
    <w:uiPriority w:val="0"/>
    <w:rPr>
      <w:rFonts w:eastAsia="黑体"/>
      <w:sz w:val="28"/>
      <w:szCs w:val="28"/>
    </w:rPr>
  </w:style>
  <w:style w:type="paragraph" w:styleId="7">
    <w:name w:val="Body Text Indent"/>
    <w:basedOn w:val="1"/>
    <w:semiHidden/>
    <w:unhideWhenUsed/>
    <w:qFormat/>
    <w:uiPriority w:val="99"/>
    <w:pPr>
      <w:spacing w:after="120"/>
      <w:ind w:left="420" w:leftChars="200"/>
    </w:pPr>
  </w:style>
  <w:style w:type="paragraph" w:styleId="8">
    <w:name w:val="Date"/>
    <w:basedOn w:val="1"/>
    <w:next w:val="1"/>
    <w:link w:val="23"/>
    <w:semiHidden/>
    <w:unhideWhenUsed/>
    <w:qFormat/>
    <w:uiPriority w:val="99"/>
    <w:pPr>
      <w:ind w:left="100" w:leftChars="2500"/>
    </w:pPr>
  </w:style>
  <w:style w:type="paragraph" w:styleId="9">
    <w:name w:val="Balloon Text"/>
    <w:basedOn w:val="1"/>
    <w:link w:val="18"/>
    <w:semiHidden/>
    <w:unhideWhenUsed/>
    <w:qFormat/>
    <w:uiPriority w:val="99"/>
    <w:rPr>
      <w:sz w:val="18"/>
      <w:szCs w:val="18"/>
    </w:rPr>
  </w:style>
  <w:style w:type="paragraph" w:styleId="10">
    <w:name w:val="footer"/>
    <w:basedOn w:val="1"/>
    <w:link w:val="1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1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3">
    <w:name w:val="Table Grid"/>
    <w:basedOn w:val="12"/>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unhideWhenUsed/>
    <w:qFormat/>
    <w:uiPriority w:val="99"/>
    <w:rPr>
      <w:color w:val="0563C1"/>
      <w:u w:val="single"/>
    </w:rPr>
  </w:style>
  <w:style w:type="character" w:customStyle="1" w:styleId="16">
    <w:name w:val="页眉 字符"/>
    <w:basedOn w:val="14"/>
    <w:link w:val="11"/>
    <w:qFormat/>
    <w:uiPriority w:val="99"/>
    <w:rPr>
      <w:sz w:val="18"/>
      <w:szCs w:val="18"/>
    </w:rPr>
  </w:style>
  <w:style w:type="character" w:customStyle="1" w:styleId="17">
    <w:name w:val="页脚 字符"/>
    <w:basedOn w:val="14"/>
    <w:link w:val="10"/>
    <w:qFormat/>
    <w:uiPriority w:val="99"/>
    <w:rPr>
      <w:sz w:val="18"/>
      <w:szCs w:val="18"/>
    </w:rPr>
  </w:style>
  <w:style w:type="character" w:customStyle="1" w:styleId="18">
    <w:name w:val="批注框文本 字符"/>
    <w:basedOn w:val="14"/>
    <w:link w:val="9"/>
    <w:semiHidden/>
    <w:qFormat/>
    <w:uiPriority w:val="99"/>
    <w:rPr>
      <w:rFonts w:ascii="Times New Roman" w:hAnsi="Times New Roman" w:eastAsia="宋体" w:cs="Times New Roman"/>
      <w:sz w:val="18"/>
      <w:szCs w:val="18"/>
    </w:rPr>
  </w:style>
  <w:style w:type="character" w:customStyle="1" w:styleId="19">
    <w:name w:val="正文文本 字符"/>
    <w:basedOn w:val="14"/>
    <w:link w:val="6"/>
    <w:semiHidden/>
    <w:qFormat/>
    <w:uiPriority w:val="0"/>
    <w:rPr>
      <w:rFonts w:ascii="Times New Roman" w:hAnsi="Times New Roman" w:eastAsia="黑体" w:cs="Times New Roman"/>
      <w:sz w:val="28"/>
      <w:szCs w:val="28"/>
    </w:rPr>
  </w:style>
  <w:style w:type="paragraph" w:styleId="20">
    <w:name w:val="List Paragraph"/>
    <w:basedOn w:val="1"/>
    <w:qFormat/>
    <w:uiPriority w:val="34"/>
    <w:pPr>
      <w:ind w:firstLine="420" w:firstLineChars="200"/>
    </w:pPr>
  </w:style>
  <w:style w:type="paragraph" w:customStyle="1" w:styleId="21">
    <w:name w:val="正文缩进1"/>
    <w:basedOn w:val="1"/>
    <w:next w:val="7"/>
    <w:qFormat/>
    <w:uiPriority w:val="0"/>
    <w:pPr>
      <w:ind w:firstLine="200" w:firstLineChars="200"/>
    </w:pPr>
  </w:style>
  <w:style w:type="character" w:customStyle="1" w:styleId="22">
    <w:name w:val="未处理的提及1"/>
    <w:basedOn w:val="14"/>
    <w:semiHidden/>
    <w:unhideWhenUsed/>
    <w:qFormat/>
    <w:uiPriority w:val="99"/>
    <w:rPr>
      <w:color w:val="605E5C"/>
      <w:shd w:val="clear" w:color="auto" w:fill="E1DFDD"/>
    </w:rPr>
  </w:style>
  <w:style w:type="character" w:customStyle="1" w:styleId="23">
    <w:name w:val="日期 字符"/>
    <w:basedOn w:val="14"/>
    <w:link w:val="8"/>
    <w:semiHidden/>
    <w:qFormat/>
    <w:uiPriority w:val="99"/>
    <w:rPr>
      <w:rFonts w:ascii="Times New Roman" w:hAnsi="Times New Roman"/>
      <w:kern w:val="2"/>
      <w:sz w:val="21"/>
      <w:szCs w:val="24"/>
    </w:rPr>
  </w:style>
  <w:style w:type="character" w:customStyle="1" w:styleId="24">
    <w:name w:val="标题 1 字符"/>
    <w:basedOn w:val="14"/>
    <w:link w:val="3"/>
    <w:qFormat/>
    <w:uiPriority w:val="0"/>
    <w:rPr>
      <w:rFonts w:ascii="宋体" w:hAnsi="宋体"/>
      <w:b/>
      <w:bCs/>
      <w:kern w:val="2"/>
      <w:sz w:val="30"/>
    </w:rPr>
  </w:style>
  <w:style w:type="character" w:customStyle="1" w:styleId="25">
    <w:name w:val="标题 2 字符"/>
    <w:basedOn w:val="14"/>
    <w:link w:val="4"/>
    <w:semiHidden/>
    <w:qFormat/>
    <w:uiPriority w:val="0"/>
    <w:rPr>
      <w:rFonts w:ascii="宋体" w:hAnsi="宋体" w:cstheme="majorBidi"/>
      <w:b/>
      <w:bCs/>
      <w:kern w:val="2"/>
      <w:sz w:val="28"/>
      <w:szCs w:val="28"/>
    </w:rPr>
  </w:style>
  <w:style w:type="character" w:customStyle="1" w:styleId="26">
    <w:name w:val="标题 3 字符"/>
    <w:basedOn w:val="14"/>
    <w:link w:val="5"/>
    <w:semiHidden/>
    <w:qFormat/>
    <w:uiPriority w:val="0"/>
    <w:rPr>
      <w:rFonts w:ascii="宋体" w:hAnsi="宋体"/>
      <w:b/>
      <w:bCs/>
      <w:kern w:val="2"/>
      <w:sz w:val="24"/>
      <w:szCs w:val="24"/>
    </w:rPr>
  </w:style>
  <w:style w:type="character" w:customStyle="1" w:styleId="27">
    <w:name w:val="font21"/>
    <w:basedOn w:val="14"/>
    <w:qFormat/>
    <w:uiPriority w:val="0"/>
    <w:rPr>
      <w:rFonts w:ascii="Calibri" w:hAnsi="Calibri" w:cs="Calibri"/>
      <w:color w:val="000000"/>
      <w:sz w:val="21"/>
      <w:szCs w:val="21"/>
      <w:u w:val="none"/>
    </w:rPr>
  </w:style>
  <w:style w:type="paragraph" w:customStyle="1" w:styleId="28">
    <w:name w:val="表格正文"/>
    <w:basedOn w:val="1"/>
    <w:qFormat/>
    <w:uiPriority w:val="99"/>
    <w:pPr>
      <w:spacing w:line="360" w:lineRule="exact"/>
      <w:jc w:val="center"/>
    </w:pPr>
    <w:rPr>
      <w:rFonts w:ascii="Calibri" w:hAnsi="Calibri" w:cs="Arial"/>
      <w:color w:val="00000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DEDB0-04B0-4C8C-9358-684DAB889D2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1948</Words>
  <Characters>2102</Characters>
  <Lines>51</Lines>
  <Paragraphs>14</Paragraphs>
  <TotalTime>4</TotalTime>
  <ScaleCrop>false</ScaleCrop>
  <LinksUpToDate>false</LinksUpToDate>
  <CharactersWithSpaces>2136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2022-04-12T10:26:00Z</dcterms:created>
  <dc:creator>崔瑞军</dc:creator>
  <cp:lastModifiedBy>WPS_1559701585</cp:lastModifiedBy>
  <cp:lastPrinted>2022-09-22T01:22:00Z</cp:lastPrinted>
  <dcterms:modified xsi:type="dcterms:W3CDTF">2022-11-11T02:10:22Z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DDDB665585A2493BAF85400ED6A10086</vt:lpwstr>
  </property>
</Properties>
</file>